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7088"/>
          <w:tab w:val="right" w:pos="9781"/>
        </w:tabs>
        <w:rPr>
          <w:rFonts w:cs="Arial"/>
          <w:b w:val="0"/>
          <w:bCs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bookmarkStart w:id="16" w:name="_GoBack"/>
      <w:r>
        <w:rPr>
          <w:rFonts w:cs="Arial"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3GPP </w:t>
      </w:r>
      <w:bookmarkStart w:id="0" w:name="OLE_LINK51"/>
      <w:bookmarkStart w:id="1" w:name="OLE_LINK52"/>
      <w:bookmarkStart w:id="2" w:name="OLE_LINK50"/>
      <w:r>
        <w:rPr>
          <w:rFonts w:cs="Arial"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TSG </w:t>
      </w:r>
      <w:r>
        <w:rPr>
          <w:rFonts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RAN</w:t>
      </w:r>
      <w:r>
        <w:rPr>
          <w:rFonts w:cs="Arial"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WG</w:t>
      </w:r>
      <w:bookmarkEnd w:id="0"/>
      <w:bookmarkEnd w:id="1"/>
      <w:bookmarkEnd w:id="2"/>
      <w:r>
        <w:rPr>
          <w:rFonts w:cs="Arial"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5 Meeting #96-e</w:t>
      </w:r>
      <w:r>
        <w:rPr>
          <w:rFonts w:cs="Arial"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cs="Arial"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cs="Arial"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Arial"/>
          <w:color w:val="000000" w:themeColor="text1"/>
          <w:sz w:val="20"/>
          <w:szCs w:val="21"/>
          <w14:textFill>
            <w14:solidFill>
              <w14:schemeClr w14:val="tx1"/>
            </w14:solidFill>
          </w14:textFill>
        </w:rPr>
        <w:t>R5-225650</w:t>
      </w:r>
    </w:p>
    <w:p>
      <w:pPr>
        <w:pStyle w:val="92"/>
        <w:outlineLvl w:val="0"/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Electronic Meeting</w:t>
      </w:r>
      <w:r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, </w:t>
      </w:r>
      <w:r>
        <w:rPr>
          <w:b/>
          <w:color w:val="000000" w:themeColor="text1"/>
          <w:sz w:val="24"/>
          <w:lang w:val="en-US"/>
          <w14:textFill>
            <w14:solidFill>
              <w14:schemeClr w14:val="tx1"/>
            </w14:solidFill>
          </w14:textFill>
        </w:rPr>
        <w:t>August</w:t>
      </w:r>
      <w:r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color w:val="000000" w:themeColor="text1"/>
          <w:sz w:val="24"/>
          <w:lang w:val="en-US"/>
          <w14:textFill>
            <w14:solidFill>
              <w14:schemeClr w14:val="tx1"/>
            </w14:solidFill>
          </w14:textFill>
        </w:rPr>
        <w:t>15</w:t>
      </w:r>
      <w:r>
        <w:rPr>
          <w:b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th</w:t>
      </w:r>
      <w:r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– 2</w:t>
      </w:r>
      <w:r>
        <w:rPr>
          <w:b/>
          <w:color w:val="000000" w:themeColor="text1"/>
          <w:sz w:val="24"/>
          <w:lang w:val="en-US"/>
          <w14:textFill>
            <w14:solidFill>
              <w14:schemeClr w14:val="tx1"/>
            </w14:solidFill>
          </w14:textFill>
        </w:rPr>
        <w:t>6</w:t>
      </w:r>
      <w:r>
        <w:rPr>
          <w:b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th</w:t>
      </w:r>
      <w:r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, 2022</w:t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  <w:highlight w:val="gree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Title:</w:t>
      </w: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LS</w:t>
      </w:r>
      <w:r>
        <w:rPr>
          <w:rFonts w:ascii="Arial" w:hAnsi="Arial" w:cs="Arial"/>
          <w:bCs/>
          <w:color w:val="000000" w:themeColor="text1"/>
          <w:sz w:val="22"/>
          <w:szCs w:val="22"/>
          <w:lang w:val="en-US"/>
          <w14:textFill>
            <w14:solidFill>
              <w14:schemeClr w14:val="tx1"/>
            </w14:solidFill>
          </w14:textFill>
        </w:rPr>
        <w:t xml:space="preserve"> to RAN4</w:t>
      </w:r>
      <w:r>
        <w:rPr>
          <w:rFonts w:ascii="Arial" w:hAnsi="Arial" w:cs="Arial"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on </w:t>
      </w:r>
      <w:r>
        <w:rPr>
          <w:rFonts w:ascii="Arial" w:hAnsi="Arial" w:cs="Arial"/>
          <w:bCs/>
          <w:color w:val="000000" w:themeColor="text1"/>
          <w:sz w:val="22"/>
          <w:szCs w:val="22"/>
          <w:lang w:val="en-US"/>
          <w14:textFill>
            <w14:solidFill>
              <w14:schemeClr w14:val="tx1"/>
            </w14:solidFill>
          </w14:textFill>
        </w:rPr>
        <w:t>A-MPR regions for NS_50 (Power Class 2)</w:t>
      </w:r>
    </w:p>
    <w:p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bookmarkStart w:id="3" w:name="OLE_LINK57"/>
      <w:bookmarkStart w:id="4" w:name="OLE_LINK58"/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Response to:</w:t>
      </w:r>
      <w:r>
        <w:rPr>
          <w:rFonts w:ascii="Arial" w:hAnsi="Arial" w:cs="Arial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</w:p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bookmarkStart w:id="5" w:name="OLE_LINK59"/>
      <w:bookmarkStart w:id="6" w:name="OLE_LINK61"/>
      <w:bookmarkStart w:id="7" w:name="OLE_LINK60"/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Release:</w:t>
      </w:r>
      <w:r>
        <w:rPr>
          <w:rFonts w:ascii="Arial" w:hAnsi="Arial" w:cs="Arial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Release-15</w:t>
      </w:r>
    </w:p>
    <w:bookmarkEnd w:id="5"/>
    <w:bookmarkEnd w:id="6"/>
    <w:bookmarkEnd w:id="7"/>
    <w:p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Work Item:</w:t>
      </w:r>
      <w:r>
        <w:rPr>
          <w:rFonts w:ascii="Arial" w:hAnsi="Arial" w:cs="Arial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TEI15_Test, 5GS_NR_LTE-UEConTest</w:t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Source:</w:t>
      </w: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TSG RAN WG</w:t>
      </w:r>
      <w:r>
        <w:rPr>
          <w:rFonts w:ascii="Arial" w:hAnsi="Arial" w:cs="Arial"/>
          <w:bCs/>
          <w:color w:val="000000" w:themeColor="text1"/>
          <w:sz w:val="22"/>
          <w:szCs w:val="22"/>
          <w:lang w:val="en-US"/>
          <w14:textFill>
            <w14:solidFill>
              <w14:schemeClr w14:val="tx1"/>
            </w14:solidFill>
          </w14:textFill>
        </w:rPr>
        <w:t>5</w:t>
      </w:r>
    </w:p>
    <w:p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To:</w:t>
      </w:r>
      <w:r>
        <w:rPr>
          <w:rFonts w:ascii="Arial" w:hAnsi="Arial" w:cs="Arial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TSG RAN WG</w:t>
      </w:r>
      <w:r>
        <w:rPr>
          <w:rFonts w:ascii="Arial" w:hAnsi="Arial" w:cs="Arial"/>
          <w:color w:val="000000" w:themeColor="text1"/>
          <w:sz w:val="22"/>
          <w:szCs w:val="22"/>
          <w:lang w:val="en-US"/>
          <w14:textFill>
            <w14:solidFill>
              <w14:schemeClr w14:val="tx1"/>
            </w14:solidFill>
          </w14:textFill>
        </w:rPr>
        <w:t>4</w:t>
      </w:r>
    </w:p>
    <w:p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bookmarkStart w:id="8" w:name="OLE_LINK46"/>
      <w:bookmarkStart w:id="9" w:name="OLE_LINK45"/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Cc:</w:t>
      </w:r>
      <w:r>
        <w:rPr>
          <w:rFonts w:ascii="Arial" w:hAnsi="Arial" w:cs="Arial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None</w:t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Contact person:</w:t>
      </w:r>
      <w:r>
        <w:rPr>
          <w:rFonts w:ascii="Arial" w:hAnsi="Arial" w:cs="Arial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:sz w:val="22"/>
          <w:szCs w:val="22"/>
          <w:lang w:val="en-US"/>
          <w14:textFill>
            <w14:solidFill>
              <w14:schemeClr w14:val="tx1"/>
            </w14:solidFill>
          </w14:textFill>
        </w:rPr>
        <w:t>Danni Song</w:t>
      </w:r>
    </w:p>
    <w:p>
      <w:pPr>
        <w:spacing w:after="60"/>
        <w:ind w:left="1985" w:hanging="1985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&lt;</w:t>
      </w:r>
      <w:r>
        <w:rPr>
          <w:rFonts w:ascii="Arial" w:hAnsi="Arial" w:cs="Arial"/>
          <w:color w:val="000000" w:themeColor="text1"/>
          <w:sz w:val="22"/>
          <w:szCs w:val="22"/>
          <w:lang w:val="en-US"/>
          <w14:textFill>
            <w14:solidFill>
              <w14:schemeClr w14:val="tx1"/>
            </w14:solidFill>
          </w14:textFill>
        </w:rPr>
        <w:t>songdan@chinamobile.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com&gt;</w:t>
      </w:r>
    </w:p>
    <w:p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Send any reply LS to:</w:t>
      </w: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3GPP Liaisons Coordinator,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"mailto:3GPPLiaison@etsi.org"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6"/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mailto:3GPPLiaison@etsi.org</w:t>
      </w:r>
      <w:r>
        <w:rPr>
          <w:rStyle w:val="46"/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Attachments:</w:t>
      </w:r>
      <w:r>
        <w:rPr>
          <w:rFonts w:ascii="Arial" w:hAnsi="Arial" w:cs="Arial"/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R5-225600.zip</w:t>
      </w:r>
    </w:p>
    <w:p>
      <w:pP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Overall description</w:t>
      </w:r>
    </w:p>
    <w:p>
      <w:pPr>
        <w:pStyle w:val="39"/>
        <w:jc w:val="both"/>
        <w:rPr>
          <w:rFonts w:ascii="Arial" w:hAnsi="Arial" w:cs="Arial"/>
          <w:color w:val="000000" w:themeColor="text1"/>
          <w:sz w:val="20"/>
          <w:lang w:eastAsia="en-GB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sz w:val="20"/>
          <w:lang w:val="en-GB" w:eastAsia="en-GB"/>
          <w14:textFill>
            <w14:solidFill>
              <w14:schemeClr w14:val="tx1"/>
            </w14:solidFill>
          </w14:textFill>
        </w:rPr>
        <w:t>In TS 38.101-1 clause 6.2.3</w:t>
      </w:r>
      <w:r>
        <w:rPr>
          <w:rFonts w:ascii="Arial" w:hAnsi="Arial" w:cs="Arial"/>
          <w:color w:val="000000" w:themeColor="text1"/>
          <w:sz w:val="20"/>
          <w:lang w:eastAsia="en-GB"/>
          <w14:textFill>
            <w14:solidFill>
              <w14:schemeClr w14:val="tx1"/>
            </w14:solidFill>
          </w14:textFill>
        </w:rPr>
        <w:t xml:space="preserve">, RAN4 has defined the </w:t>
      </w:r>
      <w:r>
        <w:rPr>
          <w:rFonts w:hint="eastAsia" w:ascii="Arial" w:hAnsi="Arial" w:cs="Arial"/>
          <w:color w:val="000000" w:themeColor="text1"/>
          <w:sz w:val="20"/>
          <w:lang w:val="en-GB" w:eastAsia="en-GB"/>
          <w14:textFill>
            <w14:solidFill>
              <w14:schemeClr w14:val="tx1"/>
            </w14:solidFill>
          </w14:textFill>
        </w:rPr>
        <w:t>additional maximum power reduction</w:t>
      </w:r>
      <w:r>
        <w:rPr>
          <w:rFonts w:ascii="Arial" w:hAnsi="Arial" w:cs="Arial"/>
          <w:color w:val="000000" w:themeColor="text1"/>
          <w:sz w:val="20"/>
          <w:lang w:eastAsia="en-GB"/>
          <w14:textFill>
            <w14:solidFill>
              <w14:schemeClr w14:val="tx1"/>
            </w14:solidFill>
          </w14:textFill>
        </w:rPr>
        <w:t>(A-MPR)</w:t>
      </w:r>
      <w:r>
        <w:rPr>
          <w:rFonts w:hint="eastAsia" w:ascii="Arial" w:hAnsi="Arial" w:cs="Arial"/>
          <w:color w:val="000000" w:themeColor="text1"/>
          <w:sz w:val="20"/>
          <w:lang w:val="en-GB" w:eastAsia="en-GB"/>
          <w14:textFill>
            <w14:solidFill>
              <w14:schemeClr w14:val="tx1"/>
            </w14:solidFill>
          </w14:textFill>
        </w:rPr>
        <w:t xml:space="preserve"> requirements</w:t>
      </w:r>
      <w:r>
        <w:rPr>
          <w:rFonts w:ascii="Arial" w:hAnsi="Arial" w:cs="Arial"/>
          <w:color w:val="000000" w:themeColor="text1"/>
          <w:sz w:val="20"/>
          <w:lang w:eastAsia="en-GB"/>
          <w14:textFill>
            <w14:solidFill>
              <w14:schemeClr w14:val="tx1"/>
            </w14:solidFill>
          </w14:textFill>
        </w:rPr>
        <w:t xml:space="preserve"> for </w:t>
      </w:r>
      <w:r>
        <w:rPr>
          <w:rFonts w:hint="eastAsia" w:ascii="Arial" w:hAnsi="Arial" w:cs="Arial"/>
          <w:color w:val="000000" w:themeColor="text1"/>
          <w:sz w:val="20"/>
          <w:lang w:val="en-GB" w:eastAsia="en-GB"/>
          <w14:textFill>
            <w14:solidFill>
              <w14:schemeClr w14:val="tx1"/>
            </w14:solidFill>
          </w14:textFill>
        </w:rPr>
        <w:t xml:space="preserve">network </w:t>
      </w:r>
      <w:r>
        <w:rPr>
          <w:rFonts w:ascii="Arial" w:hAnsi="Arial" w:cs="Arial"/>
          <w:color w:val="000000" w:themeColor="text1"/>
          <w:sz w:val="20"/>
          <w:lang w:bidi="ar"/>
          <w14:textFill>
            <w14:solidFill>
              <w14:schemeClr w14:val="tx1"/>
            </w14:solidFill>
          </w14:textFill>
        </w:rPr>
        <w:t>signaling(</w:t>
      </w:r>
      <w:r>
        <w:rPr>
          <w:rFonts w:hint="eastAsia" w:ascii="Arial" w:hAnsi="Arial" w:cs="Arial"/>
          <w:color w:val="000000" w:themeColor="text1"/>
          <w:sz w:val="20"/>
          <w:lang w:val="en-GB" w:eastAsia="en-GB"/>
          <w14:textFill>
            <w14:solidFill>
              <w14:schemeClr w14:val="tx1"/>
            </w14:solidFill>
          </w14:textFill>
        </w:rPr>
        <w:t>NS</w:t>
      </w:r>
      <w:r>
        <w:rPr>
          <w:rFonts w:ascii="Arial" w:hAnsi="Arial" w:cs="Arial"/>
          <w:color w:val="000000" w:themeColor="text1"/>
          <w:sz w:val="20"/>
          <w:lang w:eastAsia="en-GB"/>
          <w14:textFill>
            <w14:solidFill>
              <w14:schemeClr w14:val="tx1"/>
            </w14:solidFill>
          </w14:textFill>
        </w:rPr>
        <w:t>). A-MPR regions for NS_50 (Power Class 2) has been introduced in Table 6.2.3.19-3 in TS 38.101-1, based on which RAN5 derives specific RB allocations for conformance testing. However, RAN5 finds for certain A-MPR region there is no applicable RB allocation.</w:t>
      </w:r>
    </w:p>
    <w:p>
      <w:pPr>
        <w:pStyle w:val="39"/>
        <w:jc w:val="both"/>
        <w:rPr>
          <w:rFonts w:ascii="Arial" w:hAnsi="Arial" w:cs="Arial"/>
          <w:color w:val="000000" w:themeColor="text1"/>
          <w:sz w:val="20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 xml:space="preserve">Taking </w:t>
      </w:r>
      <w:r>
        <w:rPr>
          <w:rFonts w:ascii="Arial" w:hAnsi="Arial" w:eastAsia="Times New Roman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>n39</w:t>
      </w:r>
      <w:r>
        <w:rPr>
          <w:rFonts w:ascii="Arial" w:hAnsi="Arial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 xml:space="preserve"> A-MPR PC2 with</w:t>
      </w:r>
      <w:r>
        <w:rPr>
          <w:rFonts w:ascii="Arial" w:hAnsi="Arial" w:eastAsia="Times New Roman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 xml:space="preserve"> CBW=10MH</w:t>
      </w:r>
      <w:r>
        <w:rPr>
          <w:rFonts w:ascii="Arial" w:hAnsi="Arial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 xml:space="preserve">z &amp; </w:t>
      </w:r>
      <w:r>
        <w:rPr>
          <w:rFonts w:ascii="Arial" w:hAnsi="Arial" w:eastAsia="Times New Roman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>SCS=60KHz</w:t>
      </w:r>
      <w:r>
        <w:rPr>
          <w:rFonts w:ascii="Arial" w:hAnsi="Arial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 xml:space="preserve"> as an example, </w:t>
      </w:r>
    </w:p>
    <w:p>
      <w:pPr>
        <w:pStyle w:val="39"/>
        <w:numPr>
          <w:ilvl w:val="0"/>
          <w:numId w:val="5"/>
        </w:numPr>
        <w:jc w:val="both"/>
        <w:rPr>
          <w:rFonts w:ascii="Arial" w:hAnsi="Arial" w:eastAsia="Times New Roman" w:cs="Arial"/>
          <w:color w:val="000000" w:themeColor="text1"/>
          <w:sz w:val="20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 xml:space="preserve">As per Table 5.3.2-1 in TS 38.101-1, </w:t>
      </w:r>
      <w:r>
        <w:rPr>
          <w:rFonts w:ascii="Arial" w:hAnsi="Arial" w:eastAsia="Times New Roman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>the Maximum Transmission Bandwidth is NRB*12*SCS = 11*12*60</w:t>
      </w:r>
      <w:r>
        <w:rPr>
          <w:rFonts w:ascii="Arial" w:hAnsi="Arial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>K</w:t>
      </w:r>
      <w:r>
        <w:rPr>
          <w:rFonts w:ascii="Arial" w:hAnsi="Arial" w:eastAsia="Times New Roman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>Hz =7.92MHz</w:t>
      </w:r>
    </w:p>
    <w:p>
      <w:pPr>
        <w:pStyle w:val="67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0" w:name="_Hlk497144372"/>
      <w:bookmarkStart w:id="11" w:name="_Hlk505013260"/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Table 5.3.2-1: </w:t>
      </w:r>
      <w:bookmarkEnd w:id="10"/>
      <w:r>
        <w:rPr>
          <w:color w:val="000000" w:themeColor="text1"/>
          <w14:textFill>
            <w14:solidFill>
              <w14:schemeClr w14:val="tx1"/>
            </w14:solidFill>
          </w14:textFill>
        </w:rPr>
        <w:t>Maximum transmission bandwidth configuration N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RB</w:t>
      </w:r>
    </w:p>
    <w:bookmarkEnd w:id="11"/>
    <w:tbl>
      <w:tblPr>
        <w:tblStyle w:val="42"/>
        <w:tblpPr w:leftFromText="142" w:rightFromText="142" w:vertAnchor="text" w:tblpXSpec="center" w:tblpY="1"/>
        <w:tblOverlap w:val="never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9"/>
        <w:gridCol w:w="663"/>
        <w:gridCol w:w="729"/>
        <w:gridCol w:w="729"/>
        <w:gridCol w:w="638"/>
        <w:gridCol w:w="638"/>
        <w:gridCol w:w="639"/>
        <w:gridCol w:w="638"/>
        <w:gridCol w:w="638"/>
        <w:gridCol w:w="639"/>
        <w:gridCol w:w="548"/>
        <w:gridCol w:w="550"/>
        <w:gridCol w:w="550"/>
        <w:gridCol w:w="548"/>
        <w:gridCol w:w="639"/>
        <w:gridCol w:w="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306" w:type="pct"/>
            <w:tcBorders>
              <w:bottom w:val="nil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  <w:t>SCS (kHz)</w:t>
            </w:r>
          </w:p>
        </w:tc>
        <w:tc>
          <w:tcPr>
            <w:tcW w:w="33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3"/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MHz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3"/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MHz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3"/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MHz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3"/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MHz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3"/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MHz</w:t>
            </w:r>
          </w:p>
        </w:tc>
        <w:tc>
          <w:tcPr>
            <w:tcW w:w="321" w:type="pct"/>
          </w:tcPr>
          <w:p>
            <w:pPr>
              <w:pStyle w:val="63"/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MHz</w:t>
            </w:r>
          </w:p>
        </w:tc>
        <w:tc>
          <w:tcPr>
            <w:tcW w:w="320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3"/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MHz</w:t>
            </w:r>
          </w:p>
        </w:tc>
        <w:tc>
          <w:tcPr>
            <w:tcW w:w="320" w:type="pct"/>
            <w:shd w:val="clear" w:color="auto" w:fill="auto"/>
          </w:tcPr>
          <w:p>
            <w:pPr>
              <w:pStyle w:val="63"/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40 </w:t>
            </w:r>
          </w:p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MHz</w:t>
            </w:r>
          </w:p>
        </w:tc>
        <w:tc>
          <w:tcPr>
            <w:tcW w:w="321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3"/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MHz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3"/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MHz</w:t>
            </w:r>
          </w:p>
        </w:tc>
        <w:tc>
          <w:tcPr>
            <w:tcW w:w="276" w:type="pct"/>
            <w:shd w:val="clear" w:color="auto" w:fill="auto"/>
          </w:tcPr>
          <w:p>
            <w:pPr>
              <w:pStyle w:val="63"/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MHz</w:t>
            </w:r>
          </w:p>
        </w:tc>
        <w:tc>
          <w:tcPr>
            <w:tcW w:w="276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3"/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MHz</w:t>
            </w:r>
          </w:p>
        </w:tc>
        <w:tc>
          <w:tcPr>
            <w:tcW w:w="275" w:type="pct"/>
            <w:shd w:val="clear" w:color="auto" w:fill="auto"/>
          </w:tcPr>
          <w:p>
            <w:pPr>
              <w:pStyle w:val="63"/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MHz</w:t>
            </w:r>
          </w:p>
        </w:tc>
        <w:tc>
          <w:tcPr>
            <w:tcW w:w="321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3"/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MHz</w:t>
            </w:r>
          </w:p>
        </w:tc>
        <w:tc>
          <w:tcPr>
            <w:tcW w:w="273" w:type="pct"/>
          </w:tcPr>
          <w:p>
            <w:pPr>
              <w:pStyle w:val="63"/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  <w:p>
            <w:pPr>
              <w:pStyle w:val="63"/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306" w:type="pct"/>
            <w:tcBorders>
              <w:top w:val="nil"/>
            </w:tcBorders>
            <w:shd w:val="clear" w:color="auto" w:fill="auto"/>
          </w:tcPr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RB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RB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RB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RB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RB</w:t>
            </w:r>
          </w:p>
        </w:tc>
        <w:tc>
          <w:tcPr>
            <w:tcW w:w="321" w:type="pct"/>
          </w:tcPr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RB</w:t>
            </w:r>
          </w:p>
        </w:tc>
        <w:tc>
          <w:tcPr>
            <w:tcW w:w="320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eastAsia="Yu Mincho" w:cs="Arial"/>
                <w:color w:val="000000" w:themeColor="text1"/>
                <w:kern w:val="2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RB</w:t>
            </w:r>
          </w:p>
        </w:tc>
        <w:tc>
          <w:tcPr>
            <w:tcW w:w="320" w:type="pct"/>
            <w:shd w:val="clear" w:color="auto" w:fill="auto"/>
          </w:tcPr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RB</w:t>
            </w:r>
          </w:p>
        </w:tc>
        <w:tc>
          <w:tcPr>
            <w:tcW w:w="321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Yu Mincho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eastAsia="Yu Mincho" w:cs="Arial"/>
                <w:color w:val="000000" w:themeColor="text1"/>
                <w:kern w:val="2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RB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RB</w:t>
            </w:r>
          </w:p>
        </w:tc>
        <w:tc>
          <w:tcPr>
            <w:tcW w:w="276" w:type="pct"/>
            <w:shd w:val="clear" w:color="auto" w:fill="auto"/>
          </w:tcPr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RB</w:t>
            </w:r>
          </w:p>
        </w:tc>
        <w:tc>
          <w:tcPr>
            <w:tcW w:w="276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RB</w:t>
            </w:r>
          </w:p>
        </w:tc>
        <w:tc>
          <w:tcPr>
            <w:tcW w:w="275" w:type="pct"/>
            <w:shd w:val="clear" w:color="auto" w:fill="auto"/>
          </w:tcPr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RB</w:t>
            </w:r>
          </w:p>
        </w:tc>
        <w:tc>
          <w:tcPr>
            <w:tcW w:w="321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3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RB</w:t>
            </w:r>
          </w:p>
        </w:tc>
        <w:tc>
          <w:tcPr>
            <w:tcW w:w="273" w:type="pct"/>
          </w:tcPr>
          <w:p>
            <w:pPr>
              <w:pStyle w:val="63"/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cs="Arial"/>
                <w:color w:val="000000" w:themeColor="text1"/>
                <w:kern w:val="2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30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3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106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133</w:t>
            </w:r>
          </w:p>
        </w:tc>
        <w:tc>
          <w:tcPr>
            <w:tcW w:w="321" w:type="pct"/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160</w:t>
            </w:r>
          </w:p>
        </w:tc>
        <w:tc>
          <w:tcPr>
            <w:tcW w:w="320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188</w:t>
            </w:r>
          </w:p>
        </w:tc>
        <w:tc>
          <w:tcPr>
            <w:tcW w:w="320" w:type="pct"/>
            <w:shd w:val="clear" w:color="auto" w:fill="auto"/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216</w:t>
            </w:r>
          </w:p>
        </w:tc>
        <w:tc>
          <w:tcPr>
            <w:tcW w:w="321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242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270</w:t>
            </w:r>
          </w:p>
        </w:tc>
        <w:tc>
          <w:tcPr>
            <w:tcW w:w="276" w:type="pct"/>
            <w:shd w:val="clear" w:color="auto" w:fill="auto"/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276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275" w:type="pct"/>
            <w:shd w:val="clear" w:color="auto" w:fill="auto"/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321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273" w:type="pct"/>
          </w:tcPr>
          <w:p>
            <w:pPr>
              <w:pStyle w:val="64"/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30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33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321" w:type="pct"/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320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92</w:t>
            </w:r>
          </w:p>
        </w:tc>
        <w:tc>
          <w:tcPr>
            <w:tcW w:w="320" w:type="pct"/>
            <w:shd w:val="clear" w:color="auto" w:fill="auto"/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106</w:t>
            </w:r>
          </w:p>
        </w:tc>
        <w:tc>
          <w:tcPr>
            <w:tcW w:w="321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119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133</w:t>
            </w:r>
          </w:p>
        </w:tc>
        <w:tc>
          <w:tcPr>
            <w:tcW w:w="276" w:type="pct"/>
            <w:shd w:val="clear" w:color="auto" w:fill="auto"/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162</w:t>
            </w:r>
          </w:p>
        </w:tc>
        <w:tc>
          <w:tcPr>
            <w:tcW w:w="276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189</w:t>
            </w:r>
          </w:p>
        </w:tc>
        <w:tc>
          <w:tcPr>
            <w:tcW w:w="275" w:type="pct"/>
            <w:shd w:val="clear" w:color="auto" w:fill="auto"/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217</w:t>
            </w:r>
          </w:p>
        </w:tc>
        <w:tc>
          <w:tcPr>
            <w:tcW w:w="321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245</w:t>
            </w:r>
          </w:p>
        </w:tc>
        <w:tc>
          <w:tcPr>
            <w:tcW w:w="273" w:type="pct"/>
          </w:tcPr>
          <w:p>
            <w:pPr>
              <w:pStyle w:val="64"/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  <w:t>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30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33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6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32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321" w:type="pct"/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320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320" w:type="pct"/>
            <w:shd w:val="clear" w:color="auto" w:fill="auto"/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321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2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276" w:type="pct"/>
            <w:shd w:val="clear" w:color="auto" w:fill="auto"/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276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93</w:t>
            </w:r>
          </w:p>
        </w:tc>
        <w:tc>
          <w:tcPr>
            <w:tcW w:w="275" w:type="pct"/>
            <w:shd w:val="clear" w:color="auto" w:fill="auto"/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107</w:t>
            </w:r>
          </w:p>
        </w:tc>
        <w:tc>
          <w:tcPr>
            <w:tcW w:w="321" w:type="pct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64"/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121</w:t>
            </w:r>
          </w:p>
        </w:tc>
        <w:tc>
          <w:tcPr>
            <w:tcW w:w="273" w:type="pct"/>
          </w:tcPr>
          <w:p>
            <w:pPr>
              <w:pStyle w:val="64"/>
              <w:rPr>
                <w:rFonts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Cs w:val="22"/>
                <w14:textFill>
                  <w14:solidFill>
                    <w14:schemeClr w14:val="tx1"/>
                  </w14:solidFill>
                </w14:textFill>
              </w:rPr>
              <w:t>135</w:t>
            </w:r>
          </w:p>
        </w:tc>
      </w:tr>
    </w:tbl>
    <w:p>
      <w:pPr>
        <w:rPr>
          <w:rFonts w:eastAsia="Yu Mincho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9"/>
        <w:numPr>
          <w:ilvl w:val="0"/>
          <w:numId w:val="5"/>
        </w:numPr>
        <w:jc w:val="both"/>
        <w:rPr>
          <w:rFonts w:ascii="Arial" w:hAnsi="Arial" w:eastAsia="Times New Roman" w:cs="Arial"/>
          <w:color w:val="000000" w:themeColor="text1"/>
          <w:sz w:val="20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Times New Roman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>As per Table 6.2.3.19-3</w:t>
      </w:r>
      <w:r>
        <w:rPr>
          <w:rFonts w:ascii="Arial" w:hAnsi="Arial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 xml:space="preserve"> in TS 38.101-1</w:t>
      </w:r>
      <w:r>
        <w:rPr>
          <w:rFonts w:ascii="Arial" w:hAnsi="Arial" w:eastAsia="Times New Roman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>, the A4 A-MPR region requires Transmission Bandwidth is (L</w:t>
      </w:r>
      <w:r>
        <w:rPr>
          <w:rFonts w:ascii="Arial" w:hAnsi="Arial" w:eastAsia="Times New Roman" w:cs="Arial"/>
          <w:color w:val="000000" w:themeColor="text1"/>
          <w:sz w:val="20"/>
          <w:vertAlign w:val="subscript"/>
          <w14:textFill>
            <w14:solidFill>
              <w14:schemeClr w14:val="tx1"/>
            </w14:solidFill>
          </w14:textFill>
        </w:rPr>
        <w:t>CRB</w:t>
      </w:r>
      <w:r>
        <w:rPr>
          <w:rFonts w:ascii="Arial" w:hAnsi="Arial" w:eastAsia="Times New Roman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 xml:space="preserve"> + RBstart)*12*SCS ≥ 8.1MHz</w:t>
      </w:r>
    </w:p>
    <w:p>
      <w:pPr>
        <w:pStyle w:val="39"/>
        <w:jc w:val="both"/>
        <w:rPr>
          <w:rFonts w:ascii="Arial" w:hAnsi="Arial" w:eastAsia="Times New Roman" w:cs="Arial"/>
          <w:color w:val="000000" w:themeColor="text1"/>
          <w:sz w:val="20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Times New Roman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>The Transmission Bandwidth</w:t>
      </w:r>
      <w:r>
        <w:rPr>
          <w:rFonts w:ascii="Arial" w:hAnsi="Arial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 xml:space="preserve"> 8.1MHz</w:t>
      </w:r>
      <w:r>
        <w:rPr>
          <w:rFonts w:ascii="Arial" w:hAnsi="Arial" w:eastAsia="Times New Roman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 xml:space="preserve"> is “larger” than the Maximum Transmission Bandwidth</w:t>
      </w:r>
      <w:r>
        <w:rPr>
          <w:rFonts w:ascii="Arial" w:hAnsi="Arial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 xml:space="preserve"> 7.92MHz</w:t>
      </w:r>
      <w:r>
        <w:rPr>
          <w:rFonts w:ascii="Arial" w:hAnsi="Arial" w:eastAsia="Times New Roman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>, which leads to no applicable RB allocation could be found for CBW=10MH</w:t>
      </w:r>
      <w:r>
        <w:rPr>
          <w:rFonts w:ascii="Arial" w:hAnsi="Arial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 xml:space="preserve">z &amp; </w:t>
      </w:r>
      <w:r>
        <w:rPr>
          <w:rFonts w:ascii="Arial" w:hAnsi="Arial" w:eastAsia="Times New Roman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>SCS=60KHz.</w:t>
      </w:r>
    </w:p>
    <w:p>
      <w:pPr>
        <w:pStyle w:val="39"/>
        <w:jc w:val="both"/>
        <w:rPr>
          <w:rFonts w:ascii="Arial" w:hAnsi="Arial" w:cs="Arial"/>
          <w:color w:val="000000" w:themeColor="text1"/>
          <w:sz w:val="20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>Also, for some other CBW, it seems that no test points could be found for DFT-s-OFDM.</w:t>
      </w:r>
    </w:p>
    <w:p>
      <w:pPr>
        <w:pStyle w:val="39"/>
        <w:jc w:val="both"/>
        <w:rPr>
          <w:rFonts w:ascii="Arial" w:hAnsi="Arial" w:cs="Arial"/>
          <w:color w:val="000000" w:themeColor="text1"/>
          <w:sz w:val="20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sz w:val="20"/>
          <w14:textFill>
            <w14:solidFill>
              <w14:schemeClr w14:val="tx1"/>
            </w14:solidFill>
          </w14:textFill>
        </w:rPr>
        <w:t>For more examples of A-MPR regions without applicable RB allocation, please check the ‘observations’ in the attachment R5-225600.</w:t>
      </w:r>
    </w:p>
    <w:p>
      <w:pPr>
        <w:pStyle w:val="67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Table 6.2.3.19-3: A-MPR regions for NS_50 (Power Class 2)</w:t>
      </w:r>
    </w:p>
    <w:tbl>
      <w:tblPr>
        <w:tblStyle w:val="43"/>
        <w:tblW w:w="8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3040"/>
        <w:gridCol w:w="3034"/>
        <w:gridCol w:w="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491" w:type="dxa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Channel Bandwidth (MHz)</w:t>
            </w:r>
          </w:p>
        </w:tc>
        <w:tc>
          <w:tcPr>
            <w:tcW w:w="3040" w:type="dxa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RB</w:t>
            </w:r>
            <w:r>
              <w:rPr>
                <w:color w:val="000000" w:themeColor="text1"/>
                <w:kern w:val="2"/>
                <w:position w:val="-5"/>
                <w:sz w:val="16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start</w:t>
            </w: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*12*SCS (MHz)</w:t>
            </w:r>
          </w:p>
        </w:tc>
        <w:tc>
          <w:tcPr>
            <w:tcW w:w="3034" w:type="dxa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color w:val="000000" w:themeColor="text1"/>
                <w:kern w:val="2"/>
                <w:position w:val="-5"/>
                <w:sz w:val="16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CRB</w:t>
            </w: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*12*SCS (MHz)</w:t>
            </w:r>
          </w:p>
        </w:tc>
        <w:tc>
          <w:tcPr>
            <w:tcW w:w="793" w:type="dxa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A-MPR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  <w:jc w:val="center"/>
        </w:trPr>
        <w:tc>
          <w:tcPr>
            <w:tcW w:w="1491" w:type="dxa"/>
            <w:vMerge w:val="restart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10 MHz</w:t>
            </w: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≤ 1.44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&lt; 1.44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1491" w:type="dxa"/>
            <w:vMerge w:val="continue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≤ 1.8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≥ 2.7+2* RBstart*12*SCS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1491" w:type="dxa"/>
            <w:vMerge w:val="continue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&gt;1.8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≥ 8.1- RBstart*12*SCS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  <w:jc w:val="center"/>
        </w:trPr>
        <w:tc>
          <w:tcPr>
            <w:tcW w:w="1491" w:type="dxa"/>
            <w:vMerge w:val="restart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15 MHz</w:t>
            </w: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≤ 2.88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&lt; 2.7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  <w:jc w:val="center"/>
        </w:trPr>
        <w:tc>
          <w:tcPr>
            <w:tcW w:w="1491" w:type="dxa"/>
            <w:vMerge w:val="continue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≤ 3.24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≥ 2.7+2* RBstart*12*SCS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  <w:jc w:val="center"/>
        </w:trPr>
        <w:tc>
          <w:tcPr>
            <w:tcW w:w="1491" w:type="dxa"/>
            <w:vMerge w:val="continue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&gt;3.24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≥ 12.42- RBstart*12*SCS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1491" w:type="dxa"/>
            <w:vMerge w:val="restart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20 MHz</w:t>
            </w: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≤ 4.32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&lt; 3.6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  <w:jc w:val="center"/>
        </w:trPr>
        <w:tc>
          <w:tcPr>
            <w:tcW w:w="1491" w:type="dxa"/>
            <w:vMerge w:val="continue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≤ 4.5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≥ 3.6+2* RBstart*12*SCS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1491" w:type="dxa"/>
            <w:vMerge w:val="continue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&gt;4.5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≥ 17.1- RBstart*12*SCS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491" w:type="dxa"/>
            <w:vMerge w:val="restart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25 MHz</w:t>
            </w: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≤ L</w:t>
            </w:r>
            <w:r>
              <w:rPr>
                <w:color w:val="000000" w:themeColor="text1"/>
                <w:kern w:val="24"/>
                <w:position w:val="-5"/>
                <w:sz w:val="16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CRB</w:t>
            </w: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*12*SCS – 5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 5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0" w:type="auto"/>
            <w:vMerge w:val="continue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≤ 6.3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≤ 1.44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0" w:type="auto"/>
            <w:vMerge w:val="continue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 8.28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 max (21.6 – RB</w:t>
            </w:r>
            <w:r>
              <w:rPr>
                <w:color w:val="000000" w:themeColor="text1"/>
                <w:kern w:val="24"/>
                <w:position w:val="-5"/>
                <w:sz w:val="16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start</w:t>
            </w: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*12*SCS, 0)</w:t>
            </w:r>
            <w:r>
              <w:rPr>
                <w:rFonts w:eastAsia="等线"/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, &lt;</w:t>
            </w: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RB</w:t>
            </w:r>
            <w:r>
              <w:rPr>
                <w:color w:val="000000" w:themeColor="text1"/>
                <w:kern w:val="24"/>
                <w:position w:val="-5"/>
                <w:sz w:val="16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start</w:t>
            </w: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*12*SCS+5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0" w:type="auto"/>
            <w:vMerge w:val="continue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&gt;1.8, ≤6.12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 1.44</w:t>
            </w:r>
            <w:r>
              <w:rPr>
                <w:rFonts w:eastAsia="等线"/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≤ 3.6</w:t>
            </w:r>
            <w:r>
              <w:rPr>
                <w:rFonts w:eastAsia="等线"/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0" w:type="auto"/>
            <w:vMerge w:val="continue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 L</w:t>
            </w:r>
            <w:r>
              <w:rPr>
                <w:color w:val="000000" w:themeColor="text1"/>
                <w:kern w:val="24"/>
                <w:position w:val="-5"/>
                <w:sz w:val="16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CRB</w:t>
            </w: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*12*SCS – 5, ≤ 5.04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 1.44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491" w:type="dxa"/>
            <w:vMerge w:val="restart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30 MHz</w:t>
            </w:r>
          </w:p>
          <w:p>
            <w:pPr>
              <w:pStyle w:val="63"/>
              <w:rPr>
                <w:b w:val="0"/>
                <w:bCs/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≤ L</w:t>
            </w:r>
            <w:r>
              <w:rPr>
                <w:color w:val="000000" w:themeColor="text1"/>
                <w:kern w:val="24"/>
                <w:position w:val="-5"/>
                <w:sz w:val="16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CRB</w:t>
            </w: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*12*SCS – 5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&gt;5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0" w:type="auto"/>
            <w:vMerge w:val="continue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≤ 7.56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≤ 1.44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0" w:type="auto"/>
            <w:vMerge w:val="continue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&gt;1.8, ≤7.56 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 1.44</w:t>
            </w:r>
            <w:r>
              <w:rPr>
                <w:rFonts w:eastAsia="等线"/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≤ 3.6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0" w:type="auto"/>
            <w:vMerge w:val="continue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≤ 1.8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&gt;1.44, &lt;</w:t>
            </w: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RB</w:t>
            </w:r>
            <w:r>
              <w:rPr>
                <w:color w:val="000000" w:themeColor="text1"/>
                <w:kern w:val="24"/>
                <w:position w:val="-5"/>
                <w:sz w:val="16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start</w:t>
            </w: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*12*SCS+5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0" w:type="auto"/>
            <w:vMerge w:val="continue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 10.8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 max (26.64 – RB</w:t>
            </w:r>
            <w:r>
              <w:rPr>
                <w:color w:val="000000" w:themeColor="text1"/>
                <w:kern w:val="24"/>
                <w:position w:val="-5"/>
                <w:sz w:val="16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start</w:t>
            </w: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*12*SCS, 0)</w:t>
            </w:r>
            <w:r>
              <w:rPr>
                <w:rFonts w:eastAsia="等线"/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, &lt;</w:t>
            </w: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RB</w:t>
            </w:r>
            <w:r>
              <w:rPr>
                <w:color w:val="000000" w:themeColor="text1"/>
                <w:kern w:val="24"/>
                <w:position w:val="-5"/>
                <w:sz w:val="16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start</w:t>
            </w: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*12*SCS+5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1491" w:type="dxa"/>
            <w:vMerge w:val="restart"/>
          </w:tcPr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40 MHz</w:t>
            </w:r>
          </w:p>
          <w:p>
            <w:pPr>
              <w:pStyle w:val="63"/>
              <w:rPr>
                <w:b w:val="0"/>
                <w:bCs/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63"/>
              <w:rPr>
                <w:b w:val="0"/>
                <w:bCs/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63"/>
              <w:rPr>
                <w:b w:val="0"/>
                <w:bCs/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63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≤ 4.32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 0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491" w:type="dxa"/>
            <w:vMerge w:val="continue"/>
          </w:tcPr>
          <w:p>
            <w:pPr>
              <w:spacing w:after="0" w:line="25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kern w:val="24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 4.32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 RB</w:t>
            </w:r>
            <w:r>
              <w:rPr>
                <w:color w:val="000000" w:themeColor="text1"/>
                <w:kern w:val="24"/>
                <w:position w:val="-5"/>
                <w:sz w:val="16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start</w:t>
            </w: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*12*SCS + 11.88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0" w:type="auto"/>
            <w:vMerge w:val="continue"/>
          </w:tcPr>
          <w:p>
            <w:pPr>
              <w:spacing w:after="0"/>
              <w:rPr>
                <w:rFonts w:ascii="Arial" w:hAnsi="Arial" w:cs="Arial"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 4.32, ≤ 12.96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≤ 10.8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0" w:type="auto"/>
            <w:vMerge w:val="continue"/>
          </w:tcPr>
          <w:p>
            <w:pPr>
              <w:spacing w:after="0"/>
              <w:rPr>
                <w:rFonts w:ascii="Arial" w:hAnsi="Arial" w:cs="Arial"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 4.32, ≤ 18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 10.8</w:t>
            </w:r>
            <w:r>
              <w:rPr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&lt;= RB</w:t>
            </w:r>
            <w:r>
              <w:rPr>
                <w:color w:val="000000" w:themeColor="text1"/>
                <w:kern w:val="24"/>
                <w:position w:val="-5"/>
                <w:sz w:val="16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start</w:t>
            </w: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*12*SCS + 11.88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0" w:type="auto"/>
            <w:vMerge w:val="continue"/>
          </w:tcPr>
          <w:p>
            <w:pPr>
              <w:spacing w:after="0"/>
              <w:rPr>
                <w:rFonts w:ascii="Arial" w:hAnsi="Arial" w:cs="Arial"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 18, ≤ 31.68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 max (31.68 – RB</w:t>
            </w:r>
            <w:r>
              <w:rPr>
                <w:color w:val="000000" w:themeColor="text1"/>
                <w:kern w:val="24"/>
                <w:position w:val="-5"/>
                <w:sz w:val="16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start</w:t>
            </w: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*12*SCS, 0)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0" w:type="auto"/>
            <w:vMerge w:val="continue"/>
          </w:tcPr>
          <w:p>
            <w:pPr>
              <w:spacing w:after="0"/>
              <w:rPr>
                <w:rFonts w:ascii="Arial" w:hAnsi="Arial" w:cs="Arial"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40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 31.68</w:t>
            </w:r>
          </w:p>
        </w:tc>
        <w:tc>
          <w:tcPr>
            <w:tcW w:w="3034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&gt; 0</w:t>
            </w:r>
          </w:p>
        </w:tc>
        <w:tc>
          <w:tcPr>
            <w:tcW w:w="793" w:type="dxa"/>
          </w:tcPr>
          <w:p>
            <w:pPr>
              <w:pStyle w:val="64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4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8358" w:type="dxa"/>
            <w:gridSpan w:val="4"/>
          </w:tcPr>
          <w:p>
            <w:pPr>
              <w:pStyle w:val="78"/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NOTE 1:</w:t>
            </w: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The A-MPR values are specified in Table 6.2.3.19-4.</w:t>
            </w:r>
          </w:p>
        </w:tc>
      </w:tr>
    </w:tbl>
    <w:p>
      <w:pPr>
        <w:pStyle w:val="39"/>
        <w:rPr>
          <w:rFonts w:ascii="Arial" w:hAnsi="Arial" w:cs="Arial"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Actions</w:t>
      </w:r>
    </w:p>
    <w:p>
      <w:pPr>
        <w:spacing w:after="12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To TSG RAN WG</w:t>
      </w:r>
      <w:r>
        <w:rPr>
          <w:rFonts w:ascii="Arial" w:hAnsi="Arial" w:cs="Arial"/>
          <w:b/>
          <w:color w:val="000000" w:themeColor="text1"/>
          <w:lang w:val="en-US"/>
          <w14:textFill>
            <w14:solidFill>
              <w14:schemeClr w14:val="tx1"/>
            </w14:solidFill>
          </w14:textFill>
        </w:rPr>
        <w:t>4</w:t>
      </w:r>
    </w:p>
    <w:p>
      <w:pPr>
        <w:spacing w:after="120"/>
        <w:ind w:left="993" w:hanging="993"/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ACTION: 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RAN</w:t>
      </w:r>
      <w:r>
        <w:rPr>
          <w:rFonts w:ascii="Arial" w:hAnsi="Arial" w:cs="Arial"/>
          <w:color w:val="000000" w:themeColor="text1"/>
          <w:lang w:val="en-US"/>
          <w14:textFill>
            <w14:solidFill>
              <w14:schemeClr w14:val="tx1"/>
            </w14:solidFill>
          </w14:textFill>
        </w:rPr>
        <w:t>5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 xml:space="preserve"> kindly requests RAN</w:t>
      </w:r>
      <w:r>
        <w:rPr>
          <w:rFonts w:ascii="Arial" w:hAnsi="Arial" w:cs="Arial"/>
          <w:color w:val="000000" w:themeColor="text1"/>
          <w:lang w:val="en-US"/>
          <w14:textFill>
            <w14:solidFill>
              <w14:schemeClr w14:val="tx1"/>
            </w14:solidFill>
          </w14:textFill>
        </w:rPr>
        <w:t>4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 xml:space="preserve"> to </w:t>
      </w:r>
    </w:p>
    <w:p>
      <w:pPr>
        <w:pStyle w:val="97"/>
        <w:numPr>
          <w:ilvl w:val="0"/>
          <w:numId w:val="6"/>
        </w:numPr>
        <w:spacing w:after="120"/>
        <w:rPr>
          <w:rFonts w:ascii="Arial" w:hAnsi="Arial" w:cs="Arial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Confirm the o</w:t>
      </w:r>
      <w:r>
        <w:rPr>
          <w:rFonts w:ascii="Arial" w:hAnsi="Arial" w:cs="Arial"/>
          <w:bCs/>
          <w:color w:val="000000" w:themeColor="text1"/>
          <w14:textFill>
            <w14:solidFill>
              <w14:schemeClr w14:val="tx1"/>
            </w14:solidFill>
          </w14:textFill>
        </w:rPr>
        <w:t>bservations in the attached R5-225600 corresponding to n39 (NS_50) A-MPR regions.</w:t>
      </w:r>
    </w:p>
    <w:p>
      <w:pPr>
        <w:pStyle w:val="97"/>
        <w:numPr>
          <w:ilvl w:val="0"/>
          <w:numId w:val="6"/>
        </w:numPr>
        <w:spacing w:after="120"/>
        <w:rPr>
          <w:rFonts w:ascii="Arial" w:hAnsi="Arial" w:cs="Arial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Update</w:t>
      </w:r>
      <w:r>
        <w:rPr>
          <w:rFonts w:ascii="Arial" w:hAnsi="Arial" w:cs="Arial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Table 6.2.3.19-3 of TS 38.101-1</w:t>
      </w:r>
      <w:r>
        <w:rPr>
          <w:rFonts w:ascii="Arial" w:hAnsi="Arial" w:cs="Arial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addressing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 xml:space="preserve"> ‘A-MPR regions without applicable RB allocation’ and inform RAN5 of the corrections.</w:t>
      </w:r>
    </w:p>
    <w:p>
      <w:pPr>
        <w:pStyle w:val="2"/>
        <w:rPr>
          <w:color w:val="000000" w:themeColor="text1"/>
          <w:szCs w:val="3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36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Cs w:val="36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36"/>
          <w14:textFill>
            <w14:solidFill>
              <w14:schemeClr w14:val="tx1"/>
            </w14:solidFill>
          </w14:textFill>
        </w:rPr>
        <w:t xml:space="preserve">Dates of next </w:t>
      </w:r>
      <w:r>
        <w:rPr>
          <w:rFonts w:cs="Arial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  <w:t xml:space="preserve">TSG </w:t>
      </w:r>
      <w:r>
        <w:rPr>
          <w:rFonts w:cs="Arial"/>
          <w:color w:val="000000" w:themeColor="text1"/>
          <w:szCs w:val="36"/>
          <w14:textFill>
            <w14:solidFill>
              <w14:schemeClr w14:val="tx1"/>
            </w14:solidFill>
          </w14:textFill>
        </w:rPr>
        <w:t>RAN</w:t>
      </w:r>
      <w:r>
        <w:rPr>
          <w:rFonts w:cs="Arial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  <w:t xml:space="preserve"> WG</w:t>
      </w:r>
      <w:r>
        <w:rPr>
          <w:rFonts w:cs="Arial"/>
          <w:bCs/>
          <w:color w:val="000000" w:themeColor="text1"/>
          <w:szCs w:val="36"/>
          <w:lang w:val="en-US"/>
          <w14:textFill>
            <w14:solidFill>
              <w14:schemeClr w14:val="tx1"/>
            </w14:solidFill>
          </w14:textFill>
        </w:rPr>
        <w:t>5</w:t>
      </w:r>
      <w:r>
        <w:rPr>
          <w:rFonts w:cs="Arial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36"/>
          <w14:textFill>
            <w14:solidFill>
              <w14:schemeClr w14:val="tx1"/>
            </w14:solidFill>
          </w14:textFill>
        </w:rPr>
        <w:t>meetings</w:t>
      </w:r>
    </w:p>
    <w:p>
      <w:pP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</w:pPr>
      <w:bookmarkStart w:id="12" w:name="OLE_LINK56"/>
      <w:bookmarkStart w:id="13" w:name="OLE_LINK55"/>
      <w:bookmarkStart w:id="14" w:name="OLE_LINK54"/>
      <w:bookmarkStart w:id="15" w:name="OLE_LINK53"/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TSG RAN WG</w:t>
      </w:r>
      <w:r>
        <w:rPr>
          <w:rFonts w:ascii="Arial" w:hAnsi="Arial" w:cs="Arial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5 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Meeting #</w:t>
      </w:r>
      <w:r>
        <w:rPr>
          <w:rFonts w:ascii="Arial" w:hAnsi="Arial" w:cs="Arial"/>
          <w:color w:val="000000" w:themeColor="text1"/>
          <w:lang w:val="en-US"/>
          <w14:textFill>
            <w14:solidFill>
              <w14:schemeClr w14:val="tx1"/>
            </w14:solidFill>
          </w14:textFill>
        </w:rPr>
        <w:t>97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:lang w:val="en-US"/>
          <w14:textFill>
            <w14:solidFill>
              <w14:schemeClr w14:val="tx1"/>
            </w14:solidFill>
          </w14:textFill>
        </w:rPr>
        <w:t>November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 xml:space="preserve"> 1</w:t>
      </w:r>
      <w:r>
        <w:rPr>
          <w:rFonts w:ascii="Arial" w:hAnsi="Arial" w:cs="Arial"/>
          <w:color w:val="000000" w:themeColor="text1"/>
          <w:lang w:val="en-US"/>
          <w14:textFill>
            <w14:solidFill>
              <w14:schemeClr w14:val="tx1"/>
            </w14:solidFill>
          </w14:textFill>
        </w:rPr>
        <w:t>4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 xml:space="preserve"> – </w:t>
      </w:r>
      <w:r>
        <w:rPr>
          <w:rFonts w:ascii="Arial" w:hAnsi="Arial" w:cs="Arial"/>
          <w:color w:val="000000" w:themeColor="text1"/>
          <w:lang w:val="en-US"/>
          <w14:textFill>
            <w14:solidFill>
              <w14:schemeClr w14:val="tx1"/>
            </w14:solidFill>
          </w14:textFill>
        </w:rPr>
        <w:t>18,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 xml:space="preserve"> 2022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ab/>
      </w:r>
      <w:bookmarkEnd w:id="12"/>
      <w:bookmarkEnd w:id="13"/>
      <w:r>
        <w:rPr>
          <w:rFonts w:ascii="Arial" w:hAnsi="Arial" w:cs="Arial"/>
          <w:color w:val="000000" w:themeColor="text1"/>
          <w:lang w:val="en-US"/>
          <w14:textFill>
            <w14:solidFill>
              <w14:schemeClr w14:val="tx1"/>
            </w14:solidFill>
          </w14:textFill>
        </w:rPr>
        <w:t>TBD</w:t>
      </w:r>
    </w:p>
    <w:bookmarkEnd w:id="14"/>
    <w:bookmarkEnd w:id="15"/>
    <w:p>
      <w:pP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TSG RAN WG</w:t>
      </w:r>
      <w:r>
        <w:rPr>
          <w:rFonts w:ascii="Arial" w:hAnsi="Arial" w:cs="Arial"/>
          <w:color w:val="000000" w:themeColor="text1"/>
          <w:lang w:val="en-US"/>
          <w14:textFill>
            <w14:solidFill>
              <w14:schemeClr w14:val="tx1"/>
            </w14:solidFill>
          </w14:textFill>
        </w:rPr>
        <w:t>5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 xml:space="preserve"> Meeting #</w:t>
      </w:r>
      <w:r>
        <w:rPr>
          <w:rFonts w:ascii="Arial" w:hAnsi="Arial" w:cs="Arial"/>
          <w:color w:val="000000" w:themeColor="text1"/>
          <w:lang w:val="en-US"/>
          <w14:textFill>
            <w14:solidFill>
              <w14:schemeClr w14:val="tx1"/>
            </w14:solidFill>
          </w14:textFill>
        </w:rPr>
        <w:t>98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      February 27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 xml:space="preserve"> – </w:t>
      </w:r>
      <w:r>
        <w:rPr>
          <w:rFonts w:ascii="Arial" w:hAnsi="Arial" w:cs="Arial"/>
          <w:color w:val="000000" w:themeColor="text1"/>
          <w:lang w:val="en-US"/>
          <w14:textFill>
            <w14:solidFill>
              <w14:schemeClr w14:val="tx1"/>
            </w14:solidFill>
          </w14:textFill>
        </w:rPr>
        <w:t>March3,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ascii="Arial" w:hAnsi="Arial" w:cs="Arial"/>
          <w:color w:val="000000" w:themeColor="text1"/>
          <w:lang w:val="en-US"/>
          <w14:textFill>
            <w14:solidFill>
              <w14:schemeClr w14:val="tx1"/>
            </w14:solidFill>
          </w14:textFill>
        </w:rPr>
        <w:t>3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:lang w:val="en-US"/>
          <w14:textFill>
            <w14:solidFill>
              <w14:schemeClr w14:val="tx1"/>
            </w14:solidFill>
          </w14:textFill>
        </w:rPr>
        <w:t>Athens, GR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bookmarkEnd w:id="16"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19B537"/>
    <w:multiLevelType w:val="singleLevel"/>
    <w:tmpl w:val="9019B537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2DE32B67"/>
    <w:multiLevelType w:val="multilevel"/>
    <w:tmpl w:val="2DE32B67"/>
    <w:lvl w:ilvl="0" w:tentative="0">
      <w:start w:val="1"/>
      <w:numFmt w:val="decimal"/>
      <w:lvlText w:val="%1)"/>
      <w:lvlJc w:val="left"/>
      <w:pPr>
        <w:ind w:left="720" w:hanging="360"/>
      </w:pPr>
      <w:rPr>
        <w:rFonts w:ascii="Arial" w:hAnsi="Arial" w:eastAsia="宋体" w:cs="Arial"/>
        <w:b w:val="0"/>
        <w:bCs w:val="0"/>
        <w:color w:val="auto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4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bordersDoNotSurroundHeader w:val="1"/>
  <w:bordersDoNotSurroundFooter w:val="1"/>
  <w:linkStyles/>
  <w:attachedTemplate r:id="rId1"/>
  <w:trackRevisions w:val="1"/>
  <w:documentProtection w:enforcement="0"/>
  <w:defaultTabStop w:val="720"/>
  <w:displayHorizontalDrawingGridEvery w:val="0"/>
  <w:displayVerticalDrawingGridEvery w:val="2"/>
  <w:doNotUseMarginsForDrawingGridOrigin w:val="1"/>
  <w:drawingGridHorizontalOrigin w:val="1800"/>
  <w:drawingGridVerticalOrigin w:val="1440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27A"/>
    <w:rsid w:val="00017F23"/>
    <w:rsid w:val="00025829"/>
    <w:rsid w:val="000D51C7"/>
    <w:rsid w:val="000F6242"/>
    <w:rsid w:val="001100F9"/>
    <w:rsid w:val="00134C08"/>
    <w:rsid w:val="00150FC8"/>
    <w:rsid w:val="001673CB"/>
    <w:rsid w:val="001B4BAF"/>
    <w:rsid w:val="001D58D7"/>
    <w:rsid w:val="001E2472"/>
    <w:rsid w:val="00262696"/>
    <w:rsid w:val="002B3540"/>
    <w:rsid w:val="002D2673"/>
    <w:rsid w:val="002F1940"/>
    <w:rsid w:val="002F55BE"/>
    <w:rsid w:val="00301CCE"/>
    <w:rsid w:val="00383545"/>
    <w:rsid w:val="003858FB"/>
    <w:rsid w:val="003E7B7C"/>
    <w:rsid w:val="00412218"/>
    <w:rsid w:val="00413625"/>
    <w:rsid w:val="00420AD5"/>
    <w:rsid w:val="00430281"/>
    <w:rsid w:val="00433500"/>
    <w:rsid w:val="00433F71"/>
    <w:rsid w:val="00440D43"/>
    <w:rsid w:val="00480871"/>
    <w:rsid w:val="004A5EC3"/>
    <w:rsid w:val="004E3939"/>
    <w:rsid w:val="004F6591"/>
    <w:rsid w:val="00536B58"/>
    <w:rsid w:val="00546FAA"/>
    <w:rsid w:val="0056083B"/>
    <w:rsid w:val="00563BE5"/>
    <w:rsid w:val="00573B54"/>
    <w:rsid w:val="006B571F"/>
    <w:rsid w:val="006D628E"/>
    <w:rsid w:val="006E0E20"/>
    <w:rsid w:val="006E1A6C"/>
    <w:rsid w:val="006E3D79"/>
    <w:rsid w:val="007645DE"/>
    <w:rsid w:val="00766E8D"/>
    <w:rsid w:val="00785633"/>
    <w:rsid w:val="007F4F92"/>
    <w:rsid w:val="008261DF"/>
    <w:rsid w:val="008D772F"/>
    <w:rsid w:val="008E4C27"/>
    <w:rsid w:val="008E60A5"/>
    <w:rsid w:val="008F4E7B"/>
    <w:rsid w:val="00925FC6"/>
    <w:rsid w:val="009939EC"/>
    <w:rsid w:val="009942F7"/>
    <w:rsid w:val="0099764C"/>
    <w:rsid w:val="009C6EB9"/>
    <w:rsid w:val="009F35A1"/>
    <w:rsid w:val="00A02408"/>
    <w:rsid w:val="00A36ABF"/>
    <w:rsid w:val="00A5094B"/>
    <w:rsid w:val="00A97056"/>
    <w:rsid w:val="00AA20ED"/>
    <w:rsid w:val="00AD560C"/>
    <w:rsid w:val="00B24A96"/>
    <w:rsid w:val="00B97703"/>
    <w:rsid w:val="00BC02E9"/>
    <w:rsid w:val="00C10272"/>
    <w:rsid w:val="00C277F5"/>
    <w:rsid w:val="00C7617B"/>
    <w:rsid w:val="00CF6087"/>
    <w:rsid w:val="00D11961"/>
    <w:rsid w:val="00D36361"/>
    <w:rsid w:val="00E45421"/>
    <w:rsid w:val="00EC2A7D"/>
    <w:rsid w:val="00EE48C7"/>
    <w:rsid w:val="00EE62E3"/>
    <w:rsid w:val="00F26FA8"/>
    <w:rsid w:val="00F36561"/>
    <w:rsid w:val="00FC39B5"/>
    <w:rsid w:val="03685814"/>
    <w:rsid w:val="06B2021F"/>
    <w:rsid w:val="0775429A"/>
    <w:rsid w:val="08B66FB1"/>
    <w:rsid w:val="0B2C34F7"/>
    <w:rsid w:val="0FC707FB"/>
    <w:rsid w:val="191B75AB"/>
    <w:rsid w:val="19532A62"/>
    <w:rsid w:val="1C997B5B"/>
    <w:rsid w:val="1F5B050C"/>
    <w:rsid w:val="245D180B"/>
    <w:rsid w:val="2F25745D"/>
    <w:rsid w:val="312910D4"/>
    <w:rsid w:val="3AB54736"/>
    <w:rsid w:val="3C0B1182"/>
    <w:rsid w:val="42005348"/>
    <w:rsid w:val="471B40B8"/>
    <w:rsid w:val="47432D5E"/>
    <w:rsid w:val="48B77E10"/>
    <w:rsid w:val="5020755E"/>
    <w:rsid w:val="5A715AB6"/>
    <w:rsid w:val="5C1372F2"/>
    <w:rsid w:val="616F4542"/>
    <w:rsid w:val="635E68C0"/>
    <w:rsid w:val="64E1587D"/>
    <w:rsid w:val="651F3028"/>
    <w:rsid w:val="67226074"/>
    <w:rsid w:val="693A2C63"/>
    <w:rsid w:val="69B65415"/>
    <w:rsid w:val="6A2B4A41"/>
    <w:rsid w:val="70C8756F"/>
    <w:rsid w:val="75BD5261"/>
    <w:rsid w:val="7AC1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5">
    <w:name w:val="footnote text"/>
    <w:basedOn w:val="1"/>
    <w:link w:val="62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99"/>
    <w:pPr>
      <w:spacing w:beforeAutospacing="1" w:after="0" w:afterAutospacing="1"/>
    </w:pPr>
    <w:rPr>
      <w:sz w:val="24"/>
      <w:lang w:val="en-US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semiHidden/>
    <w:qFormat/>
    <w:uiPriority w:val="0"/>
  </w:style>
  <w:style w:type="character" w:styleId="46">
    <w:name w:val="Hyperlink"/>
    <w:basedOn w:val="44"/>
    <w:unhideWhenUsed/>
    <w:qFormat/>
    <w:uiPriority w:val="99"/>
    <w:rPr>
      <w:color w:val="0000FF"/>
      <w:u w:val="single"/>
    </w:rPr>
  </w:style>
  <w:style w:type="character" w:styleId="47">
    <w:name w:val="annotation reference"/>
    <w:basedOn w:val="44"/>
    <w:semiHidden/>
    <w:qFormat/>
    <w:uiPriority w:val="0"/>
    <w:rPr>
      <w:sz w:val="16"/>
    </w:rPr>
  </w:style>
  <w:style w:type="character" w:styleId="48">
    <w:name w:val="footnote reference"/>
    <w:basedOn w:val="44"/>
    <w:semiHidden/>
    <w:qFormat/>
    <w:uiPriority w:val="0"/>
    <w:rPr>
      <w:b/>
      <w:position w:val="6"/>
      <w:sz w:val="16"/>
    </w:rPr>
  </w:style>
  <w:style w:type="paragraph" w:customStyle="1" w:styleId="49">
    <w:name w:val="B1"/>
    <w:basedOn w:val="14"/>
    <w:qFormat/>
    <w:uiPriority w:val="0"/>
  </w:style>
  <w:style w:type="paragraph" w:customStyle="1" w:styleId="5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2">
    <w:name w:val="??? 2"/>
    <w:basedOn w:val="51"/>
    <w:next w:val="5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Balloon Text Char"/>
    <w:basedOn w:val="44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Header Char"/>
    <w:basedOn w:val="44"/>
    <w:link w:val="34"/>
    <w:qFormat/>
    <w:uiPriority w:val="0"/>
    <w:rPr>
      <w:rFonts w:ascii="Arial" w:hAnsi="Arial"/>
      <w:b/>
      <w:sz w:val="18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Footnote Text Char"/>
    <w:basedOn w:val="44"/>
    <w:link w:val="35"/>
    <w:semiHidden/>
    <w:qFormat/>
    <w:uiPriority w:val="0"/>
    <w:rPr>
      <w:sz w:val="16"/>
      <w:lang w:val="en-GB"/>
    </w:rPr>
  </w:style>
  <w:style w:type="paragraph" w:customStyle="1" w:styleId="63">
    <w:name w:val="TAH"/>
    <w:basedOn w:val="64"/>
    <w:link w:val="96"/>
    <w:qFormat/>
    <w:uiPriority w:val="0"/>
    <w:rPr>
      <w:b/>
    </w:rPr>
  </w:style>
  <w:style w:type="paragraph" w:customStyle="1" w:styleId="64">
    <w:name w:val="TAC"/>
    <w:basedOn w:val="65"/>
    <w:link w:val="94"/>
    <w:qFormat/>
    <w:uiPriority w:val="0"/>
    <w:pPr>
      <w:jc w:val="center"/>
    </w:pPr>
  </w:style>
  <w:style w:type="paragraph" w:customStyle="1" w:styleId="6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7"/>
    <w:qFormat/>
    <w:uiPriority w:val="0"/>
  </w:style>
  <w:style w:type="paragraph" w:customStyle="1" w:styleId="90">
    <w:name w:val="B5"/>
    <w:basedOn w:val="36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link w:val="9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3">
    <w:name w:val="CR Cover Page Char"/>
    <w:link w:val="92"/>
    <w:qFormat/>
    <w:uiPriority w:val="0"/>
    <w:rPr>
      <w:rFonts w:ascii="Arial" w:hAnsi="Arial"/>
      <w:lang w:eastAsia="en-US"/>
    </w:rPr>
  </w:style>
  <w:style w:type="character" w:customStyle="1" w:styleId="94">
    <w:name w:val="TAC Char"/>
    <w:link w:val="64"/>
    <w:qFormat/>
    <w:uiPriority w:val="0"/>
    <w:rPr>
      <w:rFonts w:ascii="Arial" w:hAnsi="Arial"/>
      <w:sz w:val="18"/>
      <w:lang w:val="en-GB"/>
    </w:rPr>
  </w:style>
  <w:style w:type="character" w:customStyle="1" w:styleId="95">
    <w:name w:val="TH Char"/>
    <w:link w:val="67"/>
    <w:qFormat/>
    <w:uiPriority w:val="0"/>
    <w:rPr>
      <w:rFonts w:ascii="Arial" w:hAnsi="Arial"/>
      <w:b/>
      <w:lang w:val="en-GB"/>
    </w:rPr>
  </w:style>
  <w:style w:type="character" w:customStyle="1" w:styleId="96">
    <w:name w:val="TAH Car"/>
    <w:link w:val="63"/>
    <w:qFormat/>
    <w:uiPriority w:val="0"/>
    <w:rPr>
      <w:rFonts w:ascii="Arial" w:hAnsi="Arial"/>
      <w:b/>
      <w:sz w:val="18"/>
      <w:lang w:val="en-GB"/>
    </w:rPr>
  </w:style>
  <w:style w:type="paragraph" w:styleId="97">
    <w:name w:val="List Paragraph"/>
    <w:basedOn w:val="1"/>
    <w:qFormat/>
    <w:uiPriority w:val="34"/>
    <w:pPr>
      <w:ind w:left="720"/>
    </w:pPr>
  </w:style>
  <w:style w:type="paragraph" w:customStyle="1" w:styleId="98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customStyle="1" w:styleId="99">
    <w:name w:val="Revision"/>
    <w:hidden/>
    <w:semiHidden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2</Pages>
  <Words>587</Words>
  <Characters>3348</Characters>
  <Lines>27</Lines>
  <Paragraphs>7</Paragraphs>
  <TotalTime>3</TotalTime>
  <ScaleCrop>false</ScaleCrop>
  <LinksUpToDate>false</LinksUpToDate>
  <CharactersWithSpaces>3928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2022-08-25T13:19:00Z</dcterms:created>
  <dc:creator>David Boswarthick</dc:creator>
  <cp:lastModifiedBy>Danni SONG(CMCC)</cp:lastModifiedBy>
  <cp:lastPrinted>2002-04-23T07:10:00Z</cp:lastPrinted>
  <dcterms:modified xsi:type="dcterms:W3CDTF">2022-08-28T08:35:09Z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6487B8A43E8A4A138DAD94978D632C73</vt:lpwstr>
  </property>
</Properties>
</file>